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06" w:rsidRDefault="00E262ED" w:rsidP="00E262ED">
      <w:pPr>
        <w:spacing w:after="0"/>
        <w:jc w:val="center"/>
      </w:pPr>
      <w:r>
        <w:rPr>
          <w:noProof/>
        </w:rPr>
        <w:drawing>
          <wp:inline distT="0" distB="0" distL="0" distR="0">
            <wp:extent cx="990600" cy="981516"/>
            <wp:effectExtent l="0" t="0" r="0" b="9525"/>
            <wp:docPr id="1" name="Picture 1" descr="NVMS logo 2020 en 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MS logo 2020 en na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33"/>
                    <a:stretch/>
                  </pic:blipFill>
                  <pic:spPr bwMode="auto">
                    <a:xfrm>
                      <a:off x="0" y="0"/>
                      <a:ext cx="996027" cy="9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B50" w:rsidRDefault="00CD7B50" w:rsidP="00CD7B50">
      <w:pPr>
        <w:spacing w:after="80" w:line="23" w:lineRule="atLeast"/>
      </w:pPr>
    </w:p>
    <w:p w:rsidR="00CD7B50" w:rsidRDefault="00CD7B50" w:rsidP="00CD7B50">
      <w:pPr>
        <w:spacing w:after="80" w:line="23" w:lineRule="atLeast"/>
        <w:jc w:val="center"/>
        <w:rPr>
          <w:b/>
          <w:sz w:val="32"/>
          <w:szCs w:val="32"/>
        </w:rPr>
      </w:pPr>
      <w:r w:rsidRPr="00D02740">
        <w:rPr>
          <w:b/>
          <w:sz w:val="32"/>
          <w:szCs w:val="32"/>
        </w:rPr>
        <w:t>(NV)MS Conference Attendance Fund</w:t>
      </w:r>
    </w:p>
    <w:p w:rsidR="00CD7B50" w:rsidRDefault="00CD7B50" w:rsidP="00CD7B50">
      <w:pPr>
        <w:spacing w:after="80" w:line="23" w:lineRule="atLeast"/>
        <w:jc w:val="center"/>
      </w:pPr>
      <w:r w:rsidRPr="00D02740">
        <w:rPr>
          <w:b/>
          <w:sz w:val="28"/>
          <w:szCs w:val="28"/>
        </w:rPr>
        <w:t>Information and conditions</w:t>
      </w:r>
    </w:p>
    <w:p w:rsidR="00CD7B50" w:rsidRDefault="00CD7B50" w:rsidP="00CD7B50">
      <w:pPr>
        <w:spacing w:after="80" w:line="23" w:lineRule="atLeast"/>
      </w:pPr>
    </w:p>
    <w:p w:rsidR="00CD7B50" w:rsidRDefault="00CD7B50" w:rsidP="00CD7B50">
      <w:pPr>
        <w:spacing w:after="80" w:line="23" w:lineRule="atLeast"/>
      </w:pPr>
    </w:p>
    <w:p w:rsidR="00CD7B50" w:rsidRDefault="00CD7B50" w:rsidP="00CD7B50">
      <w:pPr>
        <w:spacing w:after="80" w:line="23" w:lineRule="atLeast"/>
      </w:pPr>
    </w:p>
    <w:p w:rsidR="00CD7B50" w:rsidRDefault="00CD7B50" w:rsidP="00CD7B50">
      <w:pPr>
        <w:pStyle w:val="ListParagraph"/>
        <w:numPr>
          <w:ilvl w:val="0"/>
          <w:numId w:val="1"/>
        </w:numPr>
        <w:spacing w:after="80" w:line="23" w:lineRule="atLeast"/>
      </w:pPr>
      <w:r w:rsidRPr="00D02740">
        <w:rPr>
          <w:b/>
          <w:bCs/>
        </w:rPr>
        <w:t>Purpose</w:t>
      </w:r>
    </w:p>
    <w:p w:rsidR="00CD7B50" w:rsidRDefault="00CD7B50" w:rsidP="00CD7B50">
      <w:pPr>
        <w:numPr>
          <w:ilvl w:val="1"/>
          <w:numId w:val="1"/>
        </w:numPr>
        <w:spacing w:after="80" w:line="23" w:lineRule="atLeast"/>
        <w:ind w:left="1134"/>
      </w:pPr>
      <w:r w:rsidRPr="00D02740">
        <w:t>Support NVMS members in attending international conferences</w:t>
      </w:r>
      <w:r>
        <w:t xml:space="preserve"> related to mass spectrometry</w:t>
      </w:r>
      <w:r w:rsidRPr="00D02740">
        <w:t xml:space="preserve"> for presentation of </w:t>
      </w:r>
      <w:r>
        <w:t>research data</w:t>
      </w:r>
      <w:r w:rsidRPr="00D02740">
        <w:t xml:space="preserve"> (oral or poster)</w:t>
      </w:r>
      <w:r>
        <w:t>.</w:t>
      </w:r>
    </w:p>
    <w:p w:rsidR="00CD7B50" w:rsidRDefault="00CD7B50" w:rsidP="00CD7B50">
      <w:pPr>
        <w:numPr>
          <w:ilvl w:val="1"/>
          <w:numId w:val="1"/>
        </w:numPr>
        <w:spacing w:after="80" w:line="23" w:lineRule="atLeast"/>
        <w:ind w:left="1134"/>
      </w:pPr>
      <w:r>
        <w:t xml:space="preserve">The grant has a value of </w:t>
      </w:r>
      <w:r w:rsidRPr="00EF2A04">
        <w:rPr>
          <w:b/>
        </w:rPr>
        <w:t>€</w:t>
      </w:r>
      <w:r w:rsidR="00EF2A04" w:rsidRPr="00EF2A04">
        <w:rPr>
          <w:b/>
        </w:rPr>
        <w:t>1000</w:t>
      </w:r>
      <w:r>
        <w:t xml:space="preserve"> and can be used to cover (part of) the conference fee, travel costs, lodging and other travel related costs.</w:t>
      </w:r>
    </w:p>
    <w:p w:rsidR="00CD7B50" w:rsidRDefault="00CD7B50" w:rsidP="00CD7B50">
      <w:pPr>
        <w:spacing w:after="80" w:line="23" w:lineRule="atLeast"/>
        <w:ind w:left="1134"/>
      </w:pPr>
    </w:p>
    <w:p w:rsidR="00CD7B50" w:rsidRPr="00CD7B50" w:rsidRDefault="00CD7B50" w:rsidP="00CD7B50">
      <w:pPr>
        <w:numPr>
          <w:ilvl w:val="0"/>
          <w:numId w:val="1"/>
        </w:numPr>
        <w:tabs>
          <w:tab w:val="num" w:pos="1418"/>
        </w:tabs>
        <w:spacing w:after="80" w:line="23" w:lineRule="atLeast"/>
      </w:pPr>
      <w:r w:rsidRPr="00CD7B50">
        <w:rPr>
          <w:b/>
          <w:bCs/>
        </w:rPr>
        <w:t>Who can apply</w:t>
      </w:r>
    </w:p>
    <w:p w:rsidR="00CD7B50" w:rsidRPr="00CD7B50" w:rsidRDefault="00CD7B50" w:rsidP="00CD7B50">
      <w:pPr>
        <w:numPr>
          <w:ilvl w:val="1"/>
          <w:numId w:val="1"/>
        </w:numPr>
        <w:tabs>
          <w:tab w:val="num" w:pos="1418"/>
        </w:tabs>
        <w:spacing w:after="80" w:line="23" w:lineRule="atLeast"/>
        <w:ind w:left="1134"/>
      </w:pPr>
      <w:r w:rsidRPr="00CD7B50">
        <w:t>Resear</w:t>
      </w:r>
      <w:r w:rsidR="00E262ED">
        <w:t>chers (BSc, MSc, PhD, Post-doc [</w:t>
      </w:r>
      <w:r w:rsidR="00491B36">
        <w:t>until</w:t>
      </w:r>
      <w:r w:rsidRPr="00CD7B50">
        <w:t xml:space="preserve"> 2 </w:t>
      </w:r>
      <w:r w:rsidR="00491B36">
        <w:t>years</w:t>
      </w:r>
      <w:r w:rsidRPr="00CD7B50">
        <w:t xml:space="preserve"> after obtaining a PhD</w:t>
      </w:r>
      <w:r w:rsidR="00E262ED">
        <w:t>]</w:t>
      </w:r>
      <w:r w:rsidRPr="00CD7B50">
        <w:t>) who are members of the NVMS and have at least a 0.5 FTE position in the Netherlands.</w:t>
      </w:r>
    </w:p>
    <w:p w:rsidR="00CD7B50" w:rsidRPr="00CD7B50" w:rsidRDefault="00CD7B50" w:rsidP="00CD7B50">
      <w:pPr>
        <w:numPr>
          <w:ilvl w:val="1"/>
          <w:numId w:val="1"/>
        </w:numPr>
        <w:tabs>
          <w:tab w:val="num" w:pos="1418"/>
        </w:tabs>
        <w:spacing w:after="80" w:line="23" w:lineRule="atLeast"/>
        <w:ind w:left="1134"/>
      </w:pPr>
      <w:r w:rsidRPr="00CD7B50">
        <w:t>The requester should be active in this position during conference attendance.</w:t>
      </w:r>
    </w:p>
    <w:p w:rsidR="00CD7B50" w:rsidRDefault="00CD7B50" w:rsidP="00CD7B50">
      <w:pPr>
        <w:numPr>
          <w:ilvl w:val="1"/>
          <w:numId w:val="1"/>
        </w:numPr>
        <w:tabs>
          <w:tab w:val="num" w:pos="1418"/>
        </w:tabs>
        <w:spacing w:after="80" w:line="23" w:lineRule="atLeast"/>
        <w:ind w:left="1134"/>
      </w:pPr>
      <w:r w:rsidRPr="00CD7B50">
        <w:t xml:space="preserve">The requester can obtain a travel grant only once in </w:t>
      </w:r>
      <w:r w:rsidR="00970E09">
        <w:t>their</w:t>
      </w:r>
      <w:r w:rsidRPr="00CD7B50">
        <w:t xml:space="preserve"> career. It is allowed, though, to apply several times as long as the requester has not been awarded an (NV)MS Conference Attendance Fund grant before.</w:t>
      </w:r>
    </w:p>
    <w:p w:rsidR="00CD7B50" w:rsidRPr="00CD7B50" w:rsidRDefault="00CD7B50" w:rsidP="00CD7B50">
      <w:pPr>
        <w:spacing w:after="80" w:line="23" w:lineRule="atLeast"/>
        <w:ind w:left="1134"/>
      </w:pPr>
    </w:p>
    <w:p w:rsidR="00CD7B50" w:rsidRPr="00CD7B50" w:rsidRDefault="00CD7B50" w:rsidP="00CD7B50">
      <w:pPr>
        <w:numPr>
          <w:ilvl w:val="0"/>
          <w:numId w:val="1"/>
        </w:numPr>
        <w:spacing w:after="80" w:line="23" w:lineRule="atLeast"/>
      </w:pPr>
      <w:r w:rsidRPr="00CD7B50">
        <w:rPr>
          <w:b/>
          <w:bCs/>
        </w:rPr>
        <w:t>Procedure</w:t>
      </w:r>
    </w:p>
    <w:p w:rsidR="00CD7B50" w:rsidRPr="00CD7B50" w:rsidRDefault="00CD7B50" w:rsidP="00CD7B50">
      <w:pPr>
        <w:numPr>
          <w:ilvl w:val="1"/>
          <w:numId w:val="1"/>
        </w:numPr>
        <w:spacing w:after="80" w:line="23" w:lineRule="atLeast"/>
        <w:ind w:left="1134"/>
      </w:pPr>
      <w:r w:rsidRPr="00CD7B50">
        <w:t>General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>The Board of the NVMS decides each year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>to open the fund for application;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 xml:space="preserve">how many grants can be applied for. </w:t>
      </w:r>
    </w:p>
    <w:p w:rsidR="00CD7B50" w:rsidRPr="00CD7B50" w:rsidRDefault="00CD7B50" w:rsidP="00CD7B50">
      <w:pPr>
        <w:numPr>
          <w:ilvl w:val="1"/>
          <w:numId w:val="1"/>
        </w:numPr>
        <w:spacing w:after="80" w:line="23" w:lineRule="atLeast"/>
        <w:ind w:left="1134"/>
      </w:pPr>
      <w:r w:rsidRPr="00CD7B50">
        <w:t>Request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>The request for a grant should be sen</w:t>
      </w:r>
      <w:r w:rsidR="00E262ED">
        <w:t>t</w:t>
      </w:r>
      <w:r w:rsidRPr="00CD7B50">
        <w:t xml:space="preserve"> to the secretary of the NVMS (</w:t>
      </w:r>
      <w:hyperlink r:id="rId6" w:history="1">
        <w:r w:rsidRPr="00CD7B50">
          <w:rPr>
            <w:rStyle w:val="Hyperlink"/>
          </w:rPr>
          <w:t>info@nvms.nl</w:t>
        </w:r>
      </w:hyperlink>
      <w:r w:rsidRPr="00CD7B50">
        <w:t>).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 xml:space="preserve">The request can be made for future conference attendance and presentations only and cannot be used for conferences that have occurred in the past. 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 xml:space="preserve">Entries will be reviewed twice a year. Deadlines for submissions are </w:t>
      </w:r>
      <w:r w:rsidR="001C49F5">
        <w:t xml:space="preserve">31 January and </w:t>
      </w:r>
      <w:r w:rsidRPr="00CD7B50">
        <w:t xml:space="preserve">30 June. 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>Requests can be made for conferences taking place within one year after submission closure.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lastRenderedPageBreak/>
        <w:t>The request should be accompanied by: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>Accepted (if possible) abstract (1 A4) for oral/poster presentation (max. 750 words).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>Figures allowed if this clarifies the content of the abstract.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>Detailed overview of the expected costs (travel, lodging, conference fee, etc.).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 xml:space="preserve">Proof of official position (of min 0.5 FTE) in </w:t>
      </w:r>
      <w:r w:rsidR="00E262ED">
        <w:t>The Netherlands</w:t>
      </w:r>
      <w:r w:rsidRPr="00CD7B50">
        <w:t xml:space="preserve"> during time period of the conference attendance (e.g.</w:t>
      </w:r>
      <w:r w:rsidR="00E262ED">
        <w:t>,</w:t>
      </w:r>
      <w:r w:rsidRPr="00CD7B50">
        <w:t xml:space="preserve"> letter/email supervisor).</w:t>
      </w:r>
    </w:p>
    <w:p w:rsidR="00CD7B50" w:rsidRPr="00CD7B50" w:rsidRDefault="00CD7B50" w:rsidP="00CD7B50">
      <w:pPr>
        <w:numPr>
          <w:ilvl w:val="1"/>
          <w:numId w:val="1"/>
        </w:numPr>
        <w:spacing w:after="80" w:line="23" w:lineRule="atLeast"/>
        <w:ind w:left="1134"/>
      </w:pPr>
      <w:r w:rsidRPr="00CD7B50">
        <w:t>Review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>The committee will review the request within 1 month after each deadline.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>The review will consist of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 xml:space="preserve">a </w:t>
      </w:r>
      <w:r w:rsidR="00970E09">
        <w:t>control</w:t>
      </w:r>
      <w:r w:rsidRPr="00CD7B50">
        <w:t xml:space="preserve"> whether the request </w:t>
      </w:r>
      <w:r w:rsidR="00970E09">
        <w:t>has been</w:t>
      </w:r>
      <w:r w:rsidRPr="00CD7B50">
        <w:t xml:space="preserve"> delivered </w:t>
      </w:r>
      <w:r w:rsidR="00970E09">
        <w:t>according to the guidelines</w:t>
      </w:r>
      <w:r w:rsidRPr="00CD7B50">
        <w:t xml:space="preserve"> (see above);</w:t>
      </w:r>
    </w:p>
    <w:p w:rsidR="00CD7B50" w:rsidRPr="00CD7B50" w:rsidRDefault="00CD7B50" w:rsidP="00CD7B50">
      <w:pPr>
        <w:numPr>
          <w:ilvl w:val="3"/>
          <w:numId w:val="1"/>
        </w:numPr>
        <w:spacing w:after="80" w:line="23" w:lineRule="atLeast"/>
        <w:ind w:left="1985"/>
      </w:pPr>
      <w:r w:rsidRPr="00CD7B50">
        <w:t>a scientific review.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 xml:space="preserve">The outcome of the review </w:t>
      </w:r>
      <w:r w:rsidR="00970E09">
        <w:t>and</w:t>
      </w:r>
      <w:r w:rsidRPr="00CD7B50">
        <w:t xml:space="preserve"> approval or rejection (not open for discussion), will be communicated to the requester via the secretary of the NVMS.</w:t>
      </w:r>
    </w:p>
    <w:p w:rsidR="00CD7B50" w:rsidRPr="00CD7B50" w:rsidRDefault="00CD7B50" w:rsidP="00CD7B50">
      <w:pPr>
        <w:numPr>
          <w:ilvl w:val="2"/>
          <w:numId w:val="1"/>
        </w:numPr>
        <w:spacing w:after="80" w:line="23" w:lineRule="atLeast"/>
        <w:ind w:left="1560"/>
      </w:pPr>
      <w:r w:rsidRPr="00CD7B50">
        <w:t xml:space="preserve">Upon grant approval, the requester commits </w:t>
      </w:r>
      <w:r w:rsidR="00E262ED">
        <w:t>themselves</w:t>
      </w:r>
      <w:r w:rsidRPr="00CD7B50">
        <w:t xml:space="preserve"> to a presentation of the poster/oral at either the 1</w:t>
      </w:r>
      <w:r w:rsidRPr="00CD7B50">
        <w:rPr>
          <w:vertAlign w:val="superscript"/>
        </w:rPr>
        <w:t>st</w:t>
      </w:r>
      <w:r w:rsidRPr="00CD7B50">
        <w:t xml:space="preserve"> or the 2</w:t>
      </w:r>
      <w:r w:rsidRPr="00CD7B50">
        <w:rPr>
          <w:vertAlign w:val="superscript"/>
        </w:rPr>
        <w:t>nd</w:t>
      </w:r>
      <w:r w:rsidRPr="00CD7B50">
        <w:t xml:space="preserve"> NVMS meeting following the granted conference.</w:t>
      </w:r>
    </w:p>
    <w:p w:rsidR="00CD7B50" w:rsidRPr="00CD7B50" w:rsidRDefault="00CD7B50" w:rsidP="00CD7B50">
      <w:pPr>
        <w:numPr>
          <w:ilvl w:val="1"/>
          <w:numId w:val="1"/>
        </w:numPr>
        <w:spacing w:after="80" w:line="23" w:lineRule="atLeast"/>
        <w:ind w:left="1134"/>
      </w:pPr>
      <w:r w:rsidRPr="00CD7B50">
        <w:t>Committee</w:t>
      </w:r>
    </w:p>
    <w:p w:rsidR="00CD7B50" w:rsidRPr="00CD7B50" w:rsidRDefault="00CD7B50" w:rsidP="00E262ED">
      <w:pPr>
        <w:numPr>
          <w:ilvl w:val="2"/>
          <w:numId w:val="1"/>
        </w:numPr>
        <w:spacing w:after="80" w:line="23" w:lineRule="atLeast"/>
        <w:ind w:left="1560"/>
      </w:pPr>
      <w:r w:rsidRPr="00CD7B50">
        <w:t>The committee consists of three NVMS members (preferably one from university, one from industry and one from the NVMS board).</w:t>
      </w:r>
    </w:p>
    <w:p w:rsidR="00CD7B50" w:rsidRPr="00CD7B50" w:rsidRDefault="00CD7B50" w:rsidP="00E262ED">
      <w:pPr>
        <w:numPr>
          <w:ilvl w:val="2"/>
          <w:numId w:val="1"/>
        </w:numPr>
        <w:spacing w:after="80" w:line="23" w:lineRule="atLeast"/>
        <w:ind w:left="1560"/>
      </w:pPr>
      <w:r w:rsidRPr="00CD7B50">
        <w:t>Committee members will be active for 2 calendar years.</w:t>
      </w:r>
    </w:p>
    <w:p w:rsidR="00CD7B50" w:rsidRDefault="00CD7B50" w:rsidP="00E262ED">
      <w:pPr>
        <w:numPr>
          <w:ilvl w:val="2"/>
          <w:numId w:val="1"/>
        </w:numPr>
        <w:spacing w:after="80" w:line="23" w:lineRule="atLeast"/>
        <w:ind w:left="1560"/>
      </w:pPr>
      <w:r w:rsidRPr="00CD7B50">
        <w:t xml:space="preserve">The board of the NVMS will announce the members of the committee via the NVMS website (www.nvms.nl). </w:t>
      </w:r>
    </w:p>
    <w:p w:rsidR="00CD7B50" w:rsidRPr="00CD7B50" w:rsidRDefault="00CD7B50" w:rsidP="00CD7B50">
      <w:pPr>
        <w:spacing w:after="80" w:line="23" w:lineRule="atLeast"/>
        <w:ind w:left="1134"/>
      </w:pPr>
    </w:p>
    <w:p w:rsidR="00CD7B50" w:rsidRPr="00CD7B50" w:rsidRDefault="00CD7B50" w:rsidP="00CD7B50">
      <w:pPr>
        <w:numPr>
          <w:ilvl w:val="0"/>
          <w:numId w:val="1"/>
        </w:numPr>
        <w:spacing w:after="80" w:line="23" w:lineRule="atLeast"/>
      </w:pPr>
      <w:r w:rsidRPr="00CD7B50">
        <w:rPr>
          <w:b/>
          <w:bCs/>
        </w:rPr>
        <w:t>Grant payments</w:t>
      </w:r>
    </w:p>
    <w:p w:rsidR="00CD7B50" w:rsidRPr="00CD7B50" w:rsidRDefault="00CD7B50" w:rsidP="00CD7B50">
      <w:pPr>
        <w:numPr>
          <w:ilvl w:val="1"/>
          <w:numId w:val="1"/>
        </w:numPr>
        <w:tabs>
          <w:tab w:val="num" w:pos="1440"/>
        </w:tabs>
        <w:spacing w:after="80" w:line="23" w:lineRule="atLeast"/>
        <w:ind w:left="1134"/>
      </w:pPr>
      <w:r w:rsidRPr="00CD7B50">
        <w:t>Payments are based on claimed expenses with a maximum of €</w:t>
      </w:r>
      <w:r w:rsidR="00EF2A04">
        <w:t>1000</w:t>
      </w:r>
      <w:r w:rsidRPr="00CD7B50">
        <w:t xml:space="preserve"> per grant.</w:t>
      </w:r>
    </w:p>
    <w:p w:rsidR="00CD7B50" w:rsidRPr="00CD7B50" w:rsidRDefault="00CD7B50" w:rsidP="00CD7B50">
      <w:pPr>
        <w:numPr>
          <w:ilvl w:val="1"/>
          <w:numId w:val="1"/>
        </w:numPr>
        <w:tabs>
          <w:tab w:val="num" w:pos="1440"/>
        </w:tabs>
        <w:spacing w:after="80" w:line="23" w:lineRule="atLeast"/>
        <w:ind w:left="1134"/>
      </w:pPr>
      <w:r w:rsidRPr="00CD7B50">
        <w:t xml:space="preserve">A travel expense form (found on the NVMS website) </w:t>
      </w:r>
      <w:r w:rsidR="00E262ED">
        <w:t>needs to</w:t>
      </w:r>
      <w:r w:rsidRPr="00CD7B50">
        <w:t xml:space="preserve"> be completed. </w:t>
      </w:r>
    </w:p>
    <w:p w:rsidR="00CD7B50" w:rsidRPr="00CD7B50" w:rsidRDefault="00CD7B50" w:rsidP="00CD7B50">
      <w:pPr>
        <w:numPr>
          <w:ilvl w:val="1"/>
          <w:numId w:val="1"/>
        </w:numPr>
        <w:tabs>
          <w:tab w:val="num" w:pos="1440"/>
        </w:tabs>
        <w:spacing w:after="80" w:line="23" w:lineRule="atLeast"/>
        <w:ind w:left="1134"/>
      </w:pPr>
      <w:r w:rsidRPr="00CD7B50">
        <w:t>Travel expense forms should be accompanied with original receipts (copies will not be accepted) and a PDF of the presentation (oral or poster).</w:t>
      </w:r>
    </w:p>
    <w:p w:rsidR="00CD7B50" w:rsidRPr="00CD7B50" w:rsidRDefault="00CD7B50" w:rsidP="00CD7B50">
      <w:pPr>
        <w:numPr>
          <w:ilvl w:val="1"/>
          <w:numId w:val="1"/>
        </w:numPr>
        <w:tabs>
          <w:tab w:val="num" w:pos="1440"/>
        </w:tabs>
        <w:spacing w:after="80" w:line="23" w:lineRule="atLeast"/>
        <w:ind w:left="1134"/>
      </w:pPr>
      <w:r w:rsidRPr="00CD7B50">
        <w:t xml:space="preserve">Please send </w:t>
      </w:r>
      <w:r w:rsidR="00E262ED">
        <w:t xml:space="preserve">by post mail </w:t>
      </w:r>
      <w:r w:rsidRPr="00CD7B50">
        <w:t>the form and receipts to the treasurer of the NVMS:</w:t>
      </w:r>
    </w:p>
    <w:p w:rsidR="00CD7B50" w:rsidRPr="00CD7B50" w:rsidRDefault="00CD7B50" w:rsidP="00970E09">
      <w:pPr>
        <w:spacing w:after="0" w:line="23" w:lineRule="atLeast"/>
        <w:ind w:left="1134"/>
        <w:rPr>
          <w:lang w:val="nl-NL"/>
        </w:rPr>
      </w:pPr>
      <w:r w:rsidRPr="00CD7B50">
        <w:rPr>
          <w:lang w:val="nl-NL"/>
        </w:rPr>
        <w:t xml:space="preserve">Dr. </w:t>
      </w:r>
      <w:r w:rsidR="00E262ED">
        <w:rPr>
          <w:lang w:val="nl-NL"/>
        </w:rPr>
        <w:t>Richard Scheltema</w:t>
      </w:r>
    </w:p>
    <w:p w:rsidR="00CD7B50" w:rsidRPr="00CD7B50" w:rsidRDefault="00CD7B50" w:rsidP="00970E09">
      <w:pPr>
        <w:spacing w:after="0" w:line="23" w:lineRule="atLeast"/>
        <w:ind w:left="1134"/>
        <w:rPr>
          <w:lang w:val="nl-NL"/>
        </w:rPr>
      </w:pPr>
      <w:r w:rsidRPr="00CD7B50">
        <w:rPr>
          <w:lang w:val="nl-NL"/>
        </w:rPr>
        <w:t>Utrecht University</w:t>
      </w:r>
    </w:p>
    <w:p w:rsidR="00CD7B50" w:rsidRPr="00CD7B50" w:rsidRDefault="00CD7B50" w:rsidP="00970E09">
      <w:pPr>
        <w:spacing w:after="0" w:line="23" w:lineRule="atLeast"/>
        <w:ind w:left="1134"/>
        <w:rPr>
          <w:lang w:val="nl-NL"/>
        </w:rPr>
      </w:pPr>
      <w:r w:rsidRPr="00CD7B50">
        <w:rPr>
          <w:lang w:val="nl-NL"/>
        </w:rPr>
        <w:t>Padualaan 8</w:t>
      </w:r>
      <w:bookmarkStart w:id="0" w:name="_GoBack"/>
      <w:bookmarkEnd w:id="0"/>
    </w:p>
    <w:p w:rsidR="00CD7B50" w:rsidRPr="00CD7B50" w:rsidRDefault="00CD7B50" w:rsidP="00970E09">
      <w:pPr>
        <w:spacing w:after="0" w:line="23" w:lineRule="atLeast"/>
        <w:ind w:left="1134"/>
      </w:pPr>
      <w:r w:rsidRPr="00CD7B50">
        <w:t>3584 CH Utrecht</w:t>
      </w:r>
    </w:p>
    <w:p w:rsidR="00CD7B50" w:rsidRDefault="00CD7B50" w:rsidP="00970E09">
      <w:pPr>
        <w:spacing w:after="0" w:line="23" w:lineRule="atLeast"/>
        <w:ind w:left="1134"/>
      </w:pPr>
      <w:r w:rsidRPr="00CD7B50">
        <w:t>The Netherlands</w:t>
      </w:r>
    </w:p>
    <w:p w:rsidR="00CD7B50" w:rsidRDefault="00CD7B50" w:rsidP="00CD7B50">
      <w:pPr>
        <w:spacing w:after="80" w:line="23" w:lineRule="atLeast"/>
      </w:pPr>
    </w:p>
    <w:sectPr w:rsidR="00CD7B50" w:rsidSect="001836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F14"/>
    <w:multiLevelType w:val="hybridMultilevel"/>
    <w:tmpl w:val="F62ED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8C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0F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EF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6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CB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CE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60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3402F"/>
    <w:multiLevelType w:val="hybridMultilevel"/>
    <w:tmpl w:val="0248DD3A"/>
    <w:lvl w:ilvl="0" w:tplc="A0C0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83C2">
      <w:start w:val="18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E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E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0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6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AAA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CF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0D3392"/>
    <w:multiLevelType w:val="hybridMultilevel"/>
    <w:tmpl w:val="288E3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48D"/>
    <w:multiLevelType w:val="hybridMultilevel"/>
    <w:tmpl w:val="4A4222C6"/>
    <w:lvl w:ilvl="0" w:tplc="BFCA5F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C16"/>
    <w:multiLevelType w:val="hybridMultilevel"/>
    <w:tmpl w:val="59244B7E"/>
    <w:lvl w:ilvl="0" w:tplc="909AD4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72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20330">
      <w:start w:val="15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2E18A">
      <w:start w:val="158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03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257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E3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65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67A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0"/>
    <w:rsid w:val="00006EE2"/>
    <w:rsid w:val="00007C3E"/>
    <w:rsid w:val="00011EF3"/>
    <w:rsid w:val="000167CE"/>
    <w:rsid w:val="00021A7F"/>
    <w:rsid w:val="00027EEA"/>
    <w:rsid w:val="00031C39"/>
    <w:rsid w:val="000341AE"/>
    <w:rsid w:val="00051A54"/>
    <w:rsid w:val="00061B18"/>
    <w:rsid w:val="00064BF3"/>
    <w:rsid w:val="00065EF6"/>
    <w:rsid w:val="000679AA"/>
    <w:rsid w:val="000820C9"/>
    <w:rsid w:val="000827A7"/>
    <w:rsid w:val="00084067"/>
    <w:rsid w:val="000929DD"/>
    <w:rsid w:val="000940E4"/>
    <w:rsid w:val="0009610B"/>
    <w:rsid w:val="000A70D2"/>
    <w:rsid w:val="000B143A"/>
    <w:rsid w:val="000B5A41"/>
    <w:rsid w:val="000B7424"/>
    <w:rsid w:val="000C2BBB"/>
    <w:rsid w:val="000C3438"/>
    <w:rsid w:val="000D3882"/>
    <w:rsid w:val="000E1705"/>
    <w:rsid w:val="000E7849"/>
    <w:rsid w:val="00102ECE"/>
    <w:rsid w:val="001036D8"/>
    <w:rsid w:val="0010760C"/>
    <w:rsid w:val="00113F26"/>
    <w:rsid w:val="0012142A"/>
    <w:rsid w:val="0013054E"/>
    <w:rsid w:val="00132508"/>
    <w:rsid w:val="0013485F"/>
    <w:rsid w:val="00136D36"/>
    <w:rsid w:val="0013712E"/>
    <w:rsid w:val="001441B5"/>
    <w:rsid w:val="001472F2"/>
    <w:rsid w:val="00155D5D"/>
    <w:rsid w:val="00166340"/>
    <w:rsid w:val="001718E3"/>
    <w:rsid w:val="00172E49"/>
    <w:rsid w:val="00181626"/>
    <w:rsid w:val="00183606"/>
    <w:rsid w:val="00194719"/>
    <w:rsid w:val="001A20EE"/>
    <w:rsid w:val="001A4972"/>
    <w:rsid w:val="001B1AE9"/>
    <w:rsid w:val="001B7627"/>
    <w:rsid w:val="001C49F5"/>
    <w:rsid w:val="001C646F"/>
    <w:rsid w:val="001C736F"/>
    <w:rsid w:val="001D162C"/>
    <w:rsid w:val="001D39D3"/>
    <w:rsid w:val="001E1693"/>
    <w:rsid w:val="001E1AA4"/>
    <w:rsid w:val="001F7BAF"/>
    <w:rsid w:val="002002C0"/>
    <w:rsid w:val="002049EC"/>
    <w:rsid w:val="002107C8"/>
    <w:rsid w:val="00223358"/>
    <w:rsid w:val="00224A38"/>
    <w:rsid w:val="002418A6"/>
    <w:rsid w:val="0024400F"/>
    <w:rsid w:val="00252CB3"/>
    <w:rsid w:val="00274834"/>
    <w:rsid w:val="00274EF4"/>
    <w:rsid w:val="002936A6"/>
    <w:rsid w:val="002D0E6C"/>
    <w:rsid w:val="002D4F24"/>
    <w:rsid w:val="002E4DF2"/>
    <w:rsid w:val="00300F26"/>
    <w:rsid w:val="00303605"/>
    <w:rsid w:val="00331408"/>
    <w:rsid w:val="00332B0F"/>
    <w:rsid w:val="00346901"/>
    <w:rsid w:val="00350EAB"/>
    <w:rsid w:val="00354053"/>
    <w:rsid w:val="003548EF"/>
    <w:rsid w:val="00361139"/>
    <w:rsid w:val="00392801"/>
    <w:rsid w:val="003B508F"/>
    <w:rsid w:val="003B6DC9"/>
    <w:rsid w:val="003C24D2"/>
    <w:rsid w:val="003D27B1"/>
    <w:rsid w:val="003D47C9"/>
    <w:rsid w:val="00404D2A"/>
    <w:rsid w:val="00421796"/>
    <w:rsid w:val="004235AC"/>
    <w:rsid w:val="004401EF"/>
    <w:rsid w:val="00443876"/>
    <w:rsid w:val="00446D2E"/>
    <w:rsid w:val="00453F19"/>
    <w:rsid w:val="004563D9"/>
    <w:rsid w:val="00463413"/>
    <w:rsid w:val="00463DD2"/>
    <w:rsid w:val="00471910"/>
    <w:rsid w:val="00474221"/>
    <w:rsid w:val="00491B36"/>
    <w:rsid w:val="00497EAE"/>
    <w:rsid w:val="004B50DA"/>
    <w:rsid w:val="004D0A7F"/>
    <w:rsid w:val="004D34CC"/>
    <w:rsid w:val="004D775E"/>
    <w:rsid w:val="004F69CD"/>
    <w:rsid w:val="00503BE1"/>
    <w:rsid w:val="00504311"/>
    <w:rsid w:val="005320E3"/>
    <w:rsid w:val="00534012"/>
    <w:rsid w:val="005555BE"/>
    <w:rsid w:val="00561C3E"/>
    <w:rsid w:val="0056212C"/>
    <w:rsid w:val="0056297D"/>
    <w:rsid w:val="00573F38"/>
    <w:rsid w:val="005769B9"/>
    <w:rsid w:val="005817D0"/>
    <w:rsid w:val="00583E9F"/>
    <w:rsid w:val="00587AFA"/>
    <w:rsid w:val="005A05AA"/>
    <w:rsid w:val="005A7DBB"/>
    <w:rsid w:val="005B36EE"/>
    <w:rsid w:val="005C0BF9"/>
    <w:rsid w:val="005C44E7"/>
    <w:rsid w:val="005D2EE7"/>
    <w:rsid w:val="00607077"/>
    <w:rsid w:val="00616064"/>
    <w:rsid w:val="006172FD"/>
    <w:rsid w:val="0066673D"/>
    <w:rsid w:val="0067171B"/>
    <w:rsid w:val="00674557"/>
    <w:rsid w:val="00674964"/>
    <w:rsid w:val="00681211"/>
    <w:rsid w:val="0068454F"/>
    <w:rsid w:val="00687D8B"/>
    <w:rsid w:val="006B2D4D"/>
    <w:rsid w:val="006B5797"/>
    <w:rsid w:val="006C67F3"/>
    <w:rsid w:val="006D072C"/>
    <w:rsid w:val="006F6B2A"/>
    <w:rsid w:val="0072382E"/>
    <w:rsid w:val="0073409F"/>
    <w:rsid w:val="00740373"/>
    <w:rsid w:val="00741AB8"/>
    <w:rsid w:val="00751F0B"/>
    <w:rsid w:val="007536EC"/>
    <w:rsid w:val="00761027"/>
    <w:rsid w:val="007672D3"/>
    <w:rsid w:val="00781D75"/>
    <w:rsid w:val="0078623E"/>
    <w:rsid w:val="007937B9"/>
    <w:rsid w:val="00793E20"/>
    <w:rsid w:val="007C0658"/>
    <w:rsid w:val="007C1315"/>
    <w:rsid w:val="007C5BE5"/>
    <w:rsid w:val="007C7344"/>
    <w:rsid w:val="008116CD"/>
    <w:rsid w:val="00813BA8"/>
    <w:rsid w:val="00826506"/>
    <w:rsid w:val="00830AFE"/>
    <w:rsid w:val="00831946"/>
    <w:rsid w:val="00834259"/>
    <w:rsid w:val="00837492"/>
    <w:rsid w:val="00844BEE"/>
    <w:rsid w:val="0085576A"/>
    <w:rsid w:val="00871CBF"/>
    <w:rsid w:val="00882E4B"/>
    <w:rsid w:val="00884B96"/>
    <w:rsid w:val="00897A6A"/>
    <w:rsid w:val="008A2E8D"/>
    <w:rsid w:val="008A586F"/>
    <w:rsid w:val="008B1A53"/>
    <w:rsid w:val="008B51C5"/>
    <w:rsid w:val="008C2900"/>
    <w:rsid w:val="008D24E1"/>
    <w:rsid w:val="008F7732"/>
    <w:rsid w:val="009118C2"/>
    <w:rsid w:val="00920027"/>
    <w:rsid w:val="009272F8"/>
    <w:rsid w:val="009353B6"/>
    <w:rsid w:val="00935CB8"/>
    <w:rsid w:val="00940E32"/>
    <w:rsid w:val="009466B3"/>
    <w:rsid w:val="00947C6C"/>
    <w:rsid w:val="00954643"/>
    <w:rsid w:val="00957638"/>
    <w:rsid w:val="00970E09"/>
    <w:rsid w:val="00971B2E"/>
    <w:rsid w:val="00972ACE"/>
    <w:rsid w:val="00983B7E"/>
    <w:rsid w:val="009A4ED7"/>
    <w:rsid w:val="009D5A1F"/>
    <w:rsid w:val="009F167D"/>
    <w:rsid w:val="00A042E3"/>
    <w:rsid w:val="00A04E71"/>
    <w:rsid w:val="00A05E49"/>
    <w:rsid w:val="00A24A33"/>
    <w:rsid w:val="00A25AF3"/>
    <w:rsid w:val="00A25C69"/>
    <w:rsid w:val="00A4073A"/>
    <w:rsid w:val="00A46A9A"/>
    <w:rsid w:val="00A53991"/>
    <w:rsid w:val="00A54C8F"/>
    <w:rsid w:val="00A5676E"/>
    <w:rsid w:val="00A573B0"/>
    <w:rsid w:val="00A669C6"/>
    <w:rsid w:val="00A84F5E"/>
    <w:rsid w:val="00AA3888"/>
    <w:rsid w:val="00AA6A10"/>
    <w:rsid w:val="00AC72D2"/>
    <w:rsid w:val="00AF6499"/>
    <w:rsid w:val="00B00AC1"/>
    <w:rsid w:val="00B23A98"/>
    <w:rsid w:val="00B30584"/>
    <w:rsid w:val="00B31355"/>
    <w:rsid w:val="00B43105"/>
    <w:rsid w:val="00B760A0"/>
    <w:rsid w:val="00B761FD"/>
    <w:rsid w:val="00B7761A"/>
    <w:rsid w:val="00BB0DB8"/>
    <w:rsid w:val="00BC0347"/>
    <w:rsid w:val="00BC75FC"/>
    <w:rsid w:val="00BC7D57"/>
    <w:rsid w:val="00BD1443"/>
    <w:rsid w:val="00BD4DBC"/>
    <w:rsid w:val="00BE4683"/>
    <w:rsid w:val="00BF1543"/>
    <w:rsid w:val="00BF1AE7"/>
    <w:rsid w:val="00C003B3"/>
    <w:rsid w:val="00C01AF6"/>
    <w:rsid w:val="00C15579"/>
    <w:rsid w:val="00C24EC7"/>
    <w:rsid w:val="00C25480"/>
    <w:rsid w:val="00C33325"/>
    <w:rsid w:val="00C428E4"/>
    <w:rsid w:val="00C60155"/>
    <w:rsid w:val="00C616A5"/>
    <w:rsid w:val="00C7400A"/>
    <w:rsid w:val="00C77F89"/>
    <w:rsid w:val="00CA335A"/>
    <w:rsid w:val="00CA505D"/>
    <w:rsid w:val="00CA5ADE"/>
    <w:rsid w:val="00CB2CD1"/>
    <w:rsid w:val="00CB2ED0"/>
    <w:rsid w:val="00CB461A"/>
    <w:rsid w:val="00CB751B"/>
    <w:rsid w:val="00CD0B55"/>
    <w:rsid w:val="00CD7B50"/>
    <w:rsid w:val="00CF5B62"/>
    <w:rsid w:val="00CF6F36"/>
    <w:rsid w:val="00D14AA1"/>
    <w:rsid w:val="00D2353B"/>
    <w:rsid w:val="00D50D82"/>
    <w:rsid w:val="00D55323"/>
    <w:rsid w:val="00D75B7F"/>
    <w:rsid w:val="00D762F4"/>
    <w:rsid w:val="00D846B1"/>
    <w:rsid w:val="00DB53CD"/>
    <w:rsid w:val="00DD1F33"/>
    <w:rsid w:val="00DD1F37"/>
    <w:rsid w:val="00DD6229"/>
    <w:rsid w:val="00E017D0"/>
    <w:rsid w:val="00E05C36"/>
    <w:rsid w:val="00E111BA"/>
    <w:rsid w:val="00E262ED"/>
    <w:rsid w:val="00E31494"/>
    <w:rsid w:val="00E41B65"/>
    <w:rsid w:val="00E462D7"/>
    <w:rsid w:val="00E471CF"/>
    <w:rsid w:val="00E5197A"/>
    <w:rsid w:val="00E77354"/>
    <w:rsid w:val="00E777D4"/>
    <w:rsid w:val="00E86872"/>
    <w:rsid w:val="00E92765"/>
    <w:rsid w:val="00EB5E59"/>
    <w:rsid w:val="00EE1ADB"/>
    <w:rsid w:val="00EE1DDC"/>
    <w:rsid w:val="00EE55BB"/>
    <w:rsid w:val="00EF2A04"/>
    <w:rsid w:val="00F022AB"/>
    <w:rsid w:val="00F04699"/>
    <w:rsid w:val="00F303CE"/>
    <w:rsid w:val="00F56BE5"/>
    <w:rsid w:val="00F65D07"/>
    <w:rsid w:val="00F7584C"/>
    <w:rsid w:val="00FA1899"/>
    <w:rsid w:val="00FB0612"/>
    <w:rsid w:val="00FC3EBC"/>
    <w:rsid w:val="00FC4962"/>
    <w:rsid w:val="00FC7239"/>
    <w:rsid w:val="00FC735E"/>
    <w:rsid w:val="00FC75DF"/>
    <w:rsid w:val="00FD2355"/>
    <w:rsid w:val="00FE1848"/>
    <w:rsid w:val="00FF185F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3E0"/>
  <w15:docId w15:val="{9DA1CF2F-B5FF-4144-BE78-8F0ABC6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B5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B50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7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vms.nl?subject=NVMS%20conference%20attendance%20fu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christian.grun</dc:creator>
  <cp:lastModifiedBy>Kohler, I.</cp:lastModifiedBy>
  <cp:revision>4</cp:revision>
  <dcterms:created xsi:type="dcterms:W3CDTF">2021-05-19T07:46:00Z</dcterms:created>
  <dcterms:modified xsi:type="dcterms:W3CDTF">2021-05-19T08:03:00Z</dcterms:modified>
</cp:coreProperties>
</file>